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2" w:type="dxa"/>
        <w:tblLook w:val="04A0" w:firstRow="1" w:lastRow="0" w:firstColumn="1" w:lastColumn="0" w:noHBand="0" w:noVBand="1"/>
      </w:tblPr>
      <w:tblGrid>
        <w:gridCol w:w="5387"/>
        <w:gridCol w:w="4815"/>
      </w:tblGrid>
      <w:tr w:rsidR="001B0209" w:rsidRPr="001B0209" w:rsidTr="00A4766B">
        <w:tc>
          <w:tcPr>
            <w:tcW w:w="5387" w:type="dxa"/>
            <w:shd w:val="clear" w:color="auto" w:fill="auto"/>
          </w:tcPr>
          <w:p w:rsidR="001B0209" w:rsidRPr="001B0209" w:rsidRDefault="001B0209" w:rsidP="001B0209">
            <w:pPr>
              <w:spacing w:after="0" w:line="240" w:lineRule="auto"/>
              <w:rPr>
                <w:rFonts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15" w:type="dxa"/>
            <w:shd w:val="clear" w:color="auto" w:fill="auto"/>
          </w:tcPr>
          <w:p w:rsidR="001B0209" w:rsidRPr="001B0209" w:rsidRDefault="001B0209" w:rsidP="001B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ЗАТВЕРДЖУЮ</w:t>
            </w:r>
          </w:p>
          <w:p w:rsidR="001B0209" w:rsidRPr="001B0209" w:rsidRDefault="001B0209" w:rsidP="001B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КП «РОФМЦ» РОР</w:t>
            </w:r>
          </w:p>
          <w:p w:rsidR="001B0209" w:rsidRPr="001B0209" w:rsidRDefault="001B0209" w:rsidP="001B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B0209" w:rsidRPr="001B0209" w:rsidRDefault="001B0209" w:rsidP="001B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Федір АВРУКА</w:t>
            </w:r>
          </w:p>
          <w:p w:rsidR="001B0209" w:rsidRPr="001B0209" w:rsidRDefault="001B0209" w:rsidP="001B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B0209" w:rsidRPr="001B0209" w:rsidRDefault="001B0209" w:rsidP="001B02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«03» квітня 2023 року</w:t>
            </w:r>
          </w:p>
        </w:tc>
      </w:tr>
    </w:tbl>
    <w:p w:rsidR="001B0209" w:rsidRPr="001B0209" w:rsidRDefault="001B0209" w:rsidP="001B0209">
      <w:pPr>
        <w:rPr>
          <w:rFonts w:cs="Times New Roman"/>
          <w:sz w:val="28"/>
          <w:szCs w:val="28"/>
          <w:lang w:val="ru-RU" w:eastAsia="en-US"/>
        </w:rPr>
      </w:pPr>
    </w:p>
    <w:p w:rsidR="001B0209" w:rsidRPr="001B0209" w:rsidRDefault="001B0209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ПЛАН </w:t>
      </w:r>
    </w:p>
    <w:p w:rsidR="001B0209" w:rsidRPr="001B0209" w:rsidRDefault="001B0209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>діяльності системи енергетичного менеджменту</w:t>
      </w:r>
    </w:p>
    <w:p w:rsidR="001B0209" w:rsidRPr="001B0209" w:rsidRDefault="001B0209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1B0209" w:rsidRPr="001B0209" w:rsidRDefault="001B0209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>КОМУНАЛЬНОГО ПІДПРИЄМСТВА «РІВНЕНСЬКИЙ ОБЛАСНИЙ ФТИЗІОПУЛЬМО­НОЛОГІЧНИЙ МЕДИЧНИЙ ЦЕНТР»</w:t>
      </w:r>
    </w:p>
    <w:p w:rsidR="001B0209" w:rsidRPr="001B0209" w:rsidRDefault="001B0209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РІВНЕНСЬКОЇ ОБЛАСНОЇ РАДИ</w:t>
      </w:r>
    </w:p>
    <w:p w:rsidR="001B0209" w:rsidRPr="001B0209" w:rsidRDefault="001B0209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 КП «РОФМЦ» РОР )  </w:t>
      </w:r>
    </w:p>
    <w:p w:rsidR="001B0209" w:rsidRPr="001B0209" w:rsidRDefault="001B0209" w:rsidP="001B0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B0209" w:rsidRPr="001B0209" w:rsidRDefault="001B0209" w:rsidP="001B0209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1B0209">
        <w:rPr>
          <w:rFonts w:ascii="Times New Roman" w:hAnsi="Times New Roman" w:cs="Times New Roman"/>
          <w:sz w:val="28"/>
          <w:szCs w:val="28"/>
          <w:lang w:eastAsia="en-US"/>
        </w:rPr>
        <w:t>План діяльності системи енергетичного менеджменту КП «РОФМЦ» РОР розроблено відповідно до вимог Порядку впровадження систем енергетичного менеджменту, затвердженого постановою Кабінету Міністрів України від 23.12.2021 № 1460 (далі – Порядок), інших актів законодавства у сфері забезпечення енергетичної ефективності.</w:t>
      </w:r>
    </w:p>
    <w:p w:rsidR="001B0209" w:rsidRPr="001B0209" w:rsidRDefault="001B0209" w:rsidP="001B0209">
      <w:pPr>
        <w:tabs>
          <w:tab w:val="left" w:pos="709"/>
          <w:tab w:val="left" w:pos="1276"/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ab/>
        <w:t>Завданнями системи енергетичного менеджменту КП «РОФМЦ» РОР є:</w:t>
      </w:r>
    </w:p>
    <w:p w:rsidR="001B0209" w:rsidRPr="001B0209" w:rsidRDefault="001B0209" w:rsidP="001B0209">
      <w:pPr>
        <w:tabs>
          <w:tab w:val="left" w:pos="709"/>
          <w:tab w:val="left" w:pos="1276"/>
          <w:tab w:val="left" w:pos="1701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формування цілісної політики з управління використанням енергії на принципах сталого розвитку;</w:t>
      </w:r>
    </w:p>
    <w:p w:rsidR="001B0209" w:rsidRPr="001B0209" w:rsidRDefault="001B0209" w:rsidP="001B0209">
      <w:pPr>
        <w:tabs>
          <w:tab w:val="left" w:pos="709"/>
          <w:tab w:val="left" w:pos="1276"/>
          <w:tab w:val="left" w:pos="1701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забезпечення функціонування, розвитку та вдосконалення системи енергетичного менеджменту;</w:t>
      </w:r>
    </w:p>
    <w:p w:rsidR="001B0209" w:rsidRPr="001B0209" w:rsidRDefault="001B0209" w:rsidP="001B0209">
      <w:pPr>
        <w:tabs>
          <w:tab w:val="left" w:pos="709"/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створення електронної бази даних про об’єкти енергоспоживання; засобів для оперативного збору, а також аналізу даних про споживання енергії та фактори, які суттєво впливають на її споживання;</w:t>
      </w:r>
    </w:p>
    <w:p w:rsidR="001B0209" w:rsidRPr="001B0209" w:rsidRDefault="001B0209" w:rsidP="001B0209">
      <w:pPr>
        <w:tabs>
          <w:tab w:val="left" w:pos="709"/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вжиття заходів щодо енергоефективної експлуатації споруд і будівель;</w:t>
      </w:r>
    </w:p>
    <w:p w:rsidR="001B0209" w:rsidRPr="001B0209" w:rsidRDefault="001B0209" w:rsidP="001B0209">
      <w:pPr>
        <w:tabs>
          <w:tab w:val="left" w:pos="709"/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створення системи контролю та звітності у питаннях ефективності використання енергоресурсів і комунальних послуг;</w:t>
      </w:r>
    </w:p>
    <w:p w:rsidR="001B0209" w:rsidRPr="001B0209" w:rsidRDefault="001B0209" w:rsidP="001B0209">
      <w:pPr>
        <w:tabs>
          <w:tab w:val="left" w:pos="709"/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 xml:space="preserve">– ефективне використання бюджетних коштів, спрямованих на впровадження </w:t>
      </w:r>
      <w:proofErr w:type="spellStart"/>
      <w:r w:rsidRPr="001B0209">
        <w:rPr>
          <w:rFonts w:ascii="Times New Roman" w:hAnsi="Times New Roman" w:cs="Times New Roman"/>
          <w:sz w:val="28"/>
          <w:szCs w:val="28"/>
          <w:lang w:eastAsia="en-US"/>
        </w:rPr>
        <w:t>проєктів</w:t>
      </w:r>
      <w:proofErr w:type="spellEnd"/>
      <w:r w:rsidRPr="001B0209">
        <w:rPr>
          <w:rFonts w:ascii="Times New Roman" w:hAnsi="Times New Roman" w:cs="Times New Roman"/>
          <w:sz w:val="28"/>
          <w:szCs w:val="28"/>
          <w:lang w:eastAsia="en-US"/>
        </w:rPr>
        <w:t xml:space="preserve"> модернізації об’єктів, що споживають енергоресурси;</w:t>
      </w:r>
    </w:p>
    <w:p w:rsidR="001B0209" w:rsidRPr="001B0209" w:rsidRDefault="001B0209" w:rsidP="001B0209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cs="Times New Roman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ab/>
        <w:t>Операційними</w:t>
      </w:r>
      <w:r w:rsidRPr="001B0209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1B0209">
        <w:rPr>
          <w:rFonts w:ascii="Times New Roman" w:hAnsi="Times New Roman" w:cs="Times New Roman"/>
          <w:sz w:val="28"/>
          <w:szCs w:val="28"/>
          <w:lang w:eastAsia="en-US"/>
        </w:rPr>
        <w:t>цілями системи енергетичного менеджменту КП «РОФМЦ» РОР є:</w:t>
      </w:r>
    </w:p>
    <w:p w:rsidR="001B0209" w:rsidRPr="001B0209" w:rsidRDefault="001B0209" w:rsidP="001B0209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cs="Times New Roman"/>
          <w:lang w:eastAsia="en-US"/>
        </w:rPr>
        <w:tab/>
      </w: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підвищення енергоефективності будівель;</w:t>
      </w:r>
    </w:p>
    <w:p w:rsidR="001B0209" w:rsidRPr="001B0209" w:rsidRDefault="001B0209" w:rsidP="001B0209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– здійснення заходів контролю за енергоспоживанням, енергетичного аудиту для налагодження ефективного споживання енергетичних ресурсів. </w:t>
      </w:r>
    </w:p>
    <w:p w:rsidR="001B0209" w:rsidRPr="001B0209" w:rsidRDefault="001B0209" w:rsidP="001B0209">
      <w:pPr>
        <w:tabs>
          <w:tab w:val="left" w:pos="709"/>
        </w:tabs>
        <w:spacing w:before="80"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ab/>
        <w:t>Ключовими показниками результативності роботи системи енергетичного менеджменту КП «РОФМЦ» РОР є:</w:t>
      </w:r>
    </w:p>
    <w:p w:rsidR="001B0209" w:rsidRPr="001B0209" w:rsidRDefault="001B0209" w:rsidP="001B0209">
      <w:pPr>
        <w:tabs>
          <w:tab w:val="left" w:pos="1134"/>
        </w:tabs>
        <w:spacing w:before="8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– не перевищення обсягів споживання енергоресурсів рівня, який був у 2022 році;</w:t>
      </w:r>
    </w:p>
    <w:p w:rsidR="001B0209" w:rsidRPr="001B0209" w:rsidRDefault="001B0209" w:rsidP="001B0209">
      <w:pPr>
        <w:tabs>
          <w:tab w:val="left" w:pos="1134"/>
        </w:tabs>
        <w:spacing w:before="8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кількість залучених коштів на потреби підвищення ефективності енергоспоживання;</w:t>
      </w:r>
    </w:p>
    <w:p w:rsidR="001B0209" w:rsidRPr="001B0209" w:rsidRDefault="001B0209" w:rsidP="001B0209">
      <w:pPr>
        <w:tabs>
          <w:tab w:val="left" w:pos="1134"/>
        </w:tabs>
        <w:spacing w:before="8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 xml:space="preserve">– ефективність реалізації </w:t>
      </w:r>
      <w:proofErr w:type="spellStart"/>
      <w:r w:rsidRPr="001B0209">
        <w:rPr>
          <w:rFonts w:ascii="Times New Roman" w:hAnsi="Times New Roman" w:cs="Times New Roman"/>
          <w:sz w:val="28"/>
          <w:szCs w:val="28"/>
          <w:lang w:eastAsia="en-US"/>
        </w:rPr>
        <w:t>проєктів</w:t>
      </w:r>
      <w:proofErr w:type="spellEnd"/>
      <w:r w:rsidRPr="001B0209">
        <w:rPr>
          <w:rFonts w:ascii="Times New Roman" w:hAnsi="Times New Roman" w:cs="Times New Roman"/>
          <w:sz w:val="28"/>
          <w:szCs w:val="28"/>
          <w:lang w:eastAsia="en-US"/>
        </w:rPr>
        <w:t>, що характеризується фактичним досягненням річної економії / належним використанням вкладених коштів;</w:t>
      </w:r>
    </w:p>
    <w:p w:rsidR="001B0209" w:rsidRPr="001B0209" w:rsidRDefault="001B0209" w:rsidP="001B0209">
      <w:pPr>
        <w:tabs>
          <w:tab w:val="left" w:pos="1134"/>
        </w:tabs>
        <w:spacing w:before="8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– дотримання нормативних вимог до мікроклімату в приміщеннях.</w:t>
      </w:r>
    </w:p>
    <w:p w:rsidR="001B0209" w:rsidRPr="001B0209" w:rsidRDefault="001B0209" w:rsidP="001B0209">
      <w:pPr>
        <w:tabs>
          <w:tab w:val="left" w:pos="1134"/>
        </w:tabs>
        <w:spacing w:before="120" w:after="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B0209" w:rsidRPr="001B0209" w:rsidRDefault="001B0209" w:rsidP="001B0209">
      <w:pPr>
        <w:tabs>
          <w:tab w:val="left" w:pos="1134"/>
        </w:tabs>
        <w:spacing w:before="120"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>План впровадження енергоефективних заходів у будівлях</w:t>
      </w: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br/>
        <w:t>КП «РОФМЦ» РОР</w:t>
      </w:r>
    </w:p>
    <w:p w:rsidR="001B0209" w:rsidRPr="001B0209" w:rsidRDefault="001B0209" w:rsidP="001B0209">
      <w:pPr>
        <w:tabs>
          <w:tab w:val="left" w:pos="1134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З метою підвищення класу енергоефективності будівель КП «РОФМЦ» РОР впровадити:</w:t>
      </w:r>
    </w:p>
    <w:p w:rsidR="001B0209" w:rsidRPr="001B0209" w:rsidRDefault="001B0209" w:rsidP="001B0209">
      <w:pPr>
        <w:tabs>
          <w:tab w:val="left" w:pos="1134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0209" w:rsidRPr="001B0209" w:rsidRDefault="001B0209" w:rsidP="001B0209">
      <w:pPr>
        <w:tabs>
          <w:tab w:val="left" w:pos="1134"/>
        </w:tabs>
        <w:spacing w:before="120" w:after="0"/>
        <w:ind w:firstLine="709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798"/>
        <w:gridCol w:w="2693"/>
        <w:gridCol w:w="3260"/>
      </w:tblGrid>
      <w:tr w:rsidR="001B0209" w:rsidRPr="001B0209" w:rsidTr="00A4766B">
        <w:trPr>
          <w:trHeight w:val="563"/>
        </w:trPr>
        <w:tc>
          <w:tcPr>
            <w:tcW w:w="569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з/п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Зміст</w:t>
            </w:r>
            <w:proofErr w:type="spellEnd"/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 xml:space="preserve"> заходу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 xml:space="preserve">Строк </w:t>
            </w:r>
            <w:proofErr w:type="spellStart"/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виконання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</w:pPr>
            <w:proofErr w:type="spellStart"/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Примітка</w:t>
            </w:r>
            <w:proofErr w:type="spellEnd"/>
          </w:p>
        </w:tc>
      </w:tr>
      <w:tr w:rsidR="001B0209" w:rsidRPr="001B0209" w:rsidTr="00A4766B">
        <w:trPr>
          <w:trHeight w:val="2336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Надання інформації Державному агентству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 енергоефективності та енергозбереження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 стан та результати впровадження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системи енергетичного менеджменту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ІI - IV </w:t>
            </w:r>
            <w:proofErr w:type="spellStart"/>
            <w:r w:rsidRPr="001B020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квартали</w:t>
            </w:r>
            <w:proofErr w:type="spellEnd"/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2023 </w:t>
            </w:r>
            <w:proofErr w:type="spellStart"/>
            <w:r w:rsidRPr="001B020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року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0209" w:rsidRPr="001B0209" w:rsidTr="00A4766B">
        <w:trPr>
          <w:trHeight w:val="1986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Визначення об’єктів моніторингу КП «РОФМЦ» РОР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 визначення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показників енергетичних і експлуатаційних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характеристик адміністративної будівлі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ІI - IV квартали</w:t>
            </w:r>
          </w:p>
          <w:p w:rsidR="001B0209" w:rsidRPr="001B0209" w:rsidRDefault="001B0209" w:rsidP="001B0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0209" w:rsidRPr="001B0209" w:rsidTr="00A4766B">
        <w:trPr>
          <w:trHeight w:val="980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Запровадження моніторингу споживання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паливно- енергетичних ресурсів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ІI квартал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0209" w:rsidRPr="001B0209" w:rsidTr="00A4766B">
        <w:trPr>
          <w:trHeight w:val="980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Аналіз питомого споживання енергетичних ресурсів у розрізі будівель та споруд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ІI - IV квартали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0209" w:rsidRPr="001B0209" w:rsidTr="00A4766B">
        <w:trPr>
          <w:trHeight w:val="980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Вивчення технічної документації на будівлі і споруди та  документації на користування земельними ділянками. Привести у відповідність до вимог Закону України «Про державну </w:t>
            </w: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реєстрацію речових прав на нерухоме майно та їх обтяжень»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ІI - IV квартали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наявності бюджетного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фінансування на ці цілі</w:t>
            </w:r>
          </w:p>
        </w:tc>
      </w:tr>
      <w:tr w:rsidR="001B0209" w:rsidRPr="001B0209" w:rsidTr="00A4766B">
        <w:trPr>
          <w:trHeight w:val="980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Подання інформації щодо виготовлення технічних паспортів до Державного агентства з енергоефективності та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енергозбереження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ІI - IV квартали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0209" w:rsidRPr="001B0209" w:rsidTr="00A4766B">
        <w:trPr>
          <w:trHeight w:val="980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Детальний аналіз споживання енергії в будівлях та спорудах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ІI - IV квартали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0209" w:rsidRPr="001B0209" w:rsidTr="00A4766B">
        <w:trPr>
          <w:trHeight w:val="980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Забезпечення здійснення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заходів щодо забезпечення показників енергетичної ефективності таких будівель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зокрема, розроблення проектної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документації відповідно до встановлених мінімальних вимог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ІI - IV квартали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наявності бюджетного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фінансування на ці цілі</w:t>
            </w:r>
          </w:p>
        </w:tc>
      </w:tr>
      <w:tr w:rsidR="001B0209" w:rsidRPr="001B0209" w:rsidTr="00A4766B">
        <w:trPr>
          <w:trHeight w:val="2685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Впровадження заходів з енергетичної ефективності (Заміна або ремонт віконних блоків, Заміна (ремонт) вхідних дверей, Встановлення модернізованих вузлів комерційного обліку, Встановлення нових або модернізація наявних систем вентиляції,  Заміна або модернізація системи освітлення і </w:t>
            </w:r>
            <w:proofErr w:type="spellStart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т.д</w:t>
            </w:r>
            <w:proofErr w:type="spellEnd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.)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ІI - IV квартали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наявності бюджетного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фінансування на ці цілі</w:t>
            </w:r>
          </w:p>
        </w:tc>
      </w:tr>
      <w:tr w:rsidR="001B0209" w:rsidRPr="001B0209" w:rsidTr="00A4766B">
        <w:trPr>
          <w:trHeight w:val="1123"/>
        </w:trPr>
        <w:tc>
          <w:tcPr>
            <w:tcW w:w="569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8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Публічні закупівлі </w:t>
            </w:r>
            <w:proofErr w:type="spellStart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енергоспоживчої</w:t>
            </w:r>
            <w:proofErr w:type="spellEnd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продукції (товарів) та послуг, пов’язаних із</w:t>
            </w:r>
          </w:p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енергоефективним споживанням енергії</w:t>
            </w:r>
          </w:p>
        </w:tc>
        <w:tc>
          <w:tcPr>
            <w:tcW w:w="2693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IV квартали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року</w:t>
            </w:r>
          </w:p>
        </w:tc>
        <w:tc>
          <w:tcPr>
            <w:tcW w:w="3260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наявності бюджетного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фінансування на ці цілі</w:t>
            </w:r>
          </w:p>
        </w:tc>
      </w:tr>
    </w:tbl>
    <w:p w:rsidR="001B0209" w:rsidRPr="001B0209" w:rsidRDefault="001B0209" w:rsidP="001B02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B0209" w:rsidRPr="001B0209" w:rsidRDefault="001B0209" w:rsidP="001B02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b/>
          <w:sz w:val="28"/>
          <w:szCs w:val="28"/>
          <w:lang w:eastAsia="en-US"/>
        </w:rPr>
        <w:t>План заходів щодо досягнення операційних цілей та виконання ключових показників результативності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61"/>
        <w:gridCol w:w="3260"/>
      </w:tblGrid>
      <w:tr w:rsidR="001B0209" w:rsidRPr="001B0209" w:rsidTr="00A4766B"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 заходу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Термін</w:t>
            </w:r>
          </w:p>
        </w:tc>
      </w:tr>
      <w:tr w:rsidR="001B0209" w:rsidRPr="001B0209" w:rsidTr="00A4766B">
        <w:trPr>
          <w:trHeight w:val="790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Проведення повної інвентаризації приладів обліку всіх видів енергоресурсів окремо в кожній будівлі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01.06.2023</w:t>
            </w:r>
          </w:p>
        </w:tc>
      </w:tr>
      <w:tr w:rsidR="001B0209" w:rsidRPr="001B0209" w:rsidTr="00A4766B">
        <w:trPr>
          <w:trHeight w:val="1132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Проведення обстеження будівель КП «РОФМЦ» РОР, внесення в установленому порядку експлуатаційних та енергетичних характеристик до бази даних будівель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щорічно</w:t>
            </w:r>
          </w:p>
        </w:tc>
      </w:tr>
      <w:tr w:rsidR="001B0209" w:rsidRPr="001B0209" w:rsidTr="00A4766B">
        <w:trPr>
          <w:trHeight w:val="2685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Здійснення </w:t>
            </w:r>
            <w:proofErr w:type="spellStart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енергомоніторингу</w:t>
            </w:r>
            <w:proofErr w:type="spellEnd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будівлях КП «РОФМЦ» РОР шляхом внесення до журналів обліку інформації щодо всіх видів енергоресурсів та комунальних послуг згідно з даними лічильників. 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Вжиття необхідних заходів щодо припинення втрати енергоресурсів у разі виявлення фактів невиправдано великого їх споживання (у т. ч. окремими структурними підрозділами, працівниками або у випадку аварій)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щоденно</w:t>
            </w:r>
          </w:p>
        </w:tc>
      </w:tr>
      <w:tr w:rsidR="001B0209" w:rsidRPr="001B0209" w:rsidTr="00A4766B">
        <w:trPr>
          <w:trHeight w:val="984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Аналіз дотримання лімітів та порівняння спожитих енергоресурсів і комунальних витрат з аналогічним періодом попереднього року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щомісяця</w:t>
            </w:r>
          </w:p>
        </w:tc>
      </w:tr>
      <w:tr w:rsidR="001B0209" w:rsidRPr="001B0209" w:rsidTr="00A4766B">
        <w:trPr>
          <w:trHeight w:val="1120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Проведення аналізу витрат, </w:t>
            </w:r>
            <w:proofErr w:type="spellStart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пов᾽язаних</w:t>
            </w:r>
            <w:proofErr w:type="spellEnd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зі споживанням КП «РОФМЦ» РОР енергоресурсів та комунальних послуг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щорічно</w:t>
            </w:r>
          </w:p>
          <w:p w:rsidR="001B0209" w:rsidRPr="001B0209" w:rsidRDefault="001B0209" w:rsidP="001B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(станом на</w:t>
            </w:r>
          </w:p>
          <w:p w:rsidR="001B0209" w:rsidRPr="001B0209" w:rsidRDefault="001B0209" w:rsidP="001B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січня)</w:t>
            </w:r>
          </w:p>
        </w:tc>
      </w:tr>
      <w:tr w:rsidR="001B0209" w:rsidRPr="001B0209" w:rsidTr="00A4766B">
        <w:trPr>
          <w:trHeight w:val="1411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Забезпечення впровадження та подальшого функціонування системи автоматизованого збору інформації про споживання енергоресурсів, комунальних послуг за допомогою таблиць в електронній формі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постійно</w:t>
            </w:r>
          </w:p>
        </w:tc>
      </w:tr>
      <w:tr w:rsidR="001B0209" w:rsidRPr="001B0209" w:rsidTr="00A4766B"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Визначення потенціалу економії енергії / енергетичних ресурсів та комунальних послуг у будівлях КП «РОФМЦ» РОР та розробка пропозицій щодо впровадження енергоефективних заходів у цих будівлях на наступний рік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щорічно</w:t>
            </w:r>
          </w:p>
          <w:p w:rsidR="001B0209" w:rsidRPr="001B0209" w:rsidRDefault="001B0209" w:rsidP="001B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(станом на</w:t>
            </w:r>
          </w:p>
          <w:p w:rsidR="001B0209" w:rsidRPr="001B0209" w:rsidRDefault="001B0209" w:rsidP="001B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січня)</w:t>
            </w:r>
          </w:p>
        </w:tc>
      </w:tr>
      <w:tr w:rsidR="001B0209" w:rsidRPr="001B0209" w:rsidTr="00A4766B">
        <w:trPr>
          <w:trHeight w:val="1009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Здійснення моніторингу, розрахунку і оцінки показників ефективності використання енергетичних ресурсів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щорічно</w:t>
            </w:r>
          </w:p>
          <w:p w:rsidR="001B0209" w:rsidRPr="001B0209" w:rsidRDefault="001B0209" w:rsidP="001B020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(станом на              20 січня)</w:t>
            </w:r>
          </w:p>
        </w:tc>
      </w:tr>
      <w:tr w:rsidR="001B0209" w:rsidRPr="001B0209" w:rsidTr="00A4766B">
        <w:trPr>
          <w:trHeight w:val="1263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061" w:type="dxa"/>
            <w:shd w:val="clear" w:color="auto" w:fill="auto"/>
          </w:tcPr>
          <w:p w:rsidR="001B0209" w:rsidRPr="001B0209" w:rsidRDefault="001B0209" w:rsidP="001B0209">
            <w:pPr>
              <w:tabs>
                <w:tab w:val="left" w:pos="601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Здійснення обміну інформацією та публікації відомостей про споживання енергії / енергетичних ресурсів, комунальних послуг відповідно до вимог законодавства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щомісяця</w:t>
            </w:r>
          </w:p>
        </w:tc>
      </w:tr>
      <w:tr w:rsidR="001B0209" w:rsidRPr="001B0209" w:rsidTr="00A4766B">
        <w:trPr>
          <w:trHeight w:val="1434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Визначення та підготовка пропозицій щодо обсягів лімітів споживання енергоресурсів з урахуванням потреб та здійснених заходів з енергоефективності протягом минулого періоду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щорічно</w:t>
            </w:r>
          </w:p>
        </w:tc>
      </w:tr>
      <w:tr w:rsidR="001B0209" w:rsidRPr="001B0209" w:rsidTr="00A4766B">
        <w:trPr>
          <w:trHeight w:val="845"/>
        </w:trPr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Підготовка пропозицій щодо виділення коштів для реалізації заходів з енергоефективності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щорічно</w:t>
            </w:r>
          </w:p>
        </w:tc>
      </w:tr>
      <w:tr w:rsidR="001B0209" w:rsidRPr="001B0209" w:rsidTr="00A4766B"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601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Забезпечення планування видатків на енергоресурси та впровадження заходів з </w:t>
            </w: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енергоефективності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щорічно</w:t>
            </w:r>
          </w:p>
        </w:tc>
      </w:tr>
      <w:tr w:rsidR="001B0209" w:rsidRPr="001B0209" w:rsidTr="00A4766B">
        <w:tc>
          <w:tcPr>
            <w:tcW w:w="568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Проведення публічних </w:t>
            </w:r>
            <w:proofErr w:type="spellStart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закупівель</w:t>
            </w:r>
            <w:proofErr w:type="spellEnd"/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товарів та послуг, пов’язаних зі споживанням енергії з дотриманням критеріїв енергоефективності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0209" w:rsidRPr="001B0209" w:rsidRDefault="001B0209" w:rsidP="001B0209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1B02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щорічно</w:t>
            </w:r>
          </w:p>
        </w:tc>
      </w:tr>
    </w:tbl>
    <w:p w:rsidR="001B0209" w:rsidRPr="001B0209" w:rsidRDefault="001B0209" w:rsidP="001B020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B0209" w:rsidRPr="001B0209" w:rsidRDefault="001B0209" w:rsidP="001B020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B0209" w:rsidRPr="001B0209" w:rsidRDefault="001B0209" w:rsidP="001B02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за систему</w:t>
      </w:r>
    </w:p>
    <w:p w:rsidR="001B0209" w:rsidRPr="001B0209" w:rsidRDefault="001B0209" w:rsidP="001B020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енергетичного менеджменту                                                 </w:t>
      </w:r>
      <w:r w:rsidRPr="001B020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Олена МЕЛЬНИЧУК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B0209" w:rsidRDefault="001B0209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577D" w:rsidRDefault="006A577D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0209" w:rsidRDefault="001B0209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0209" w:rsidRDefault="001B0209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0209" w:rsidRPr="001B0209" w:rsidRDefault="001B0209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ЗАТВЕРДЖУЮ</w:t>
      </w:r>
    </w:p>
    <w:p w:rsidR="001B0209" w:rsidRPr="001B0209" w:rsidRDefault="001B0209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Директор КП «РОФМЦ» РОР</w:t>
      </w:r>
    </w:p>
    <w:p w:rsidR="001B0209" w:rsidRPr="001B0209" w:rsidRDefault="001B0209" w:rsidP="001B020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Федір АВРУКА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B0209">
        <w:rPr>
          <w:rFonts w:ascii="Times New Roman" w:hAnsi="Times New Roman" w:cs="Times New Roman"/>
          <w:sz w:val="28"/>
          <w:szCs w:val="28"/>
          <w:lang w:eastAsia="en-US"/>
        </w:rPr>
        <w:t>«05» квітня 2023 року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B0209" w:rsidRPr="001B0209" w:rsidRDefault="001B0209" w:rsidP="001B0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92C33"/>
          <w:sz w:val="28"/>
          <w:szCs w:val="28"/>
          <w:lang w:eastAsia="en-US"/>
        </w:rPr>
      </w:pPr>
      <w:r w:rsidRPr="001B0209">
        <w:rPr>
          <w:rFonts w:ascii="Times New Roman" w:eastAsia="Times New Roman" w:hAnsi="Times New Roman" w:cs="Times New Roman"/>
          <w:b/>
          <w:bCs/>
          <w:color w:val="292C33"/>
          <w:sz w:val="28"/>
          <w:szCs w:val="28"/>
          <w:lang w:bidi="uk-UA"/>
        </w:rPr>
        <w:t>ДЕКЛАРАЦІЯ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1B0209">
        <w:rPr>
          <w:rFonts w:ascii="Times New Roman" w:hAnsi="Times New Roman" w:cs="Times New Roman"/>
          <w:b/>
          <w:bCs/>
          <w:sz w:val="28"/>
          <w:szCs w:val="28"/>
          <w:lang w:bidi="uk-UA"/>
        </w:rPr>
        <w:t>енергетичної політики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1B0209">
        <w:rPr>
          <w:rFonts w:ascii="Times New Roman" w:hAnsi="Times New Roman" w:cs="Times New Roman"/>
          <w:b/>
          <w:bCs/>
          <w:sz w:val="28"/>
          <w:szCs w:val="28"/>
          <w:lang w:bidi="uk-UA"/>
        </w:rPr>
        <w:t>КОМУНАЛЬНОГО ПІДПРИЄМСТВА «РІВНЕНСЬКИЙ ОБЛАСНИЙ ФТИЗІОПУЛЬМО­НОЛОГІЧНИЙ МЕДИЧНИЙ ЦЕНТР»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1B0209">
        <w:rPr>
          <w:rFonts w:ascii="Times New Roman" w:hAnsi="Times New Roman" w:cs="Times New Roman"/>
          <w:b/>
          <w:bCs/>
          <w:sz w:val="28"/>
          <w:szCs w:val="28"/>
          <w:lang w:bidi="uk-UA"/>
        </w:rPr>
        <w:t>РІВНЕНСЬКОЇ ОБЛАСНОЇ РАДИ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1B0209">
        <w:rPr>
          <w:rFonts w:ascii="Times New Roman" w:hAnsi="Times New Roman" w:cs="Times New Roman"/>
          <w:b/>
          <w:bCs/>
          <w:sz w:val="28"/>
          <w:szCs w:val="28"/>
          <w:lang w:bidi="uk-UA"/>
        </w:rPr>
        <w:t>( КП «РОФМЦ» РОР )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 Декларація енергетичної політики комунального підприємства «Рівненський обласний </w:t>
      </w:r>
      <w:proofErr w:type="spellStart"/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фтизіопульмонологічний</w:t>
      </w:r>
      <w:proofErr w:type="spellEnd"/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медичний центр» Рівненської обласної ради розроблена відповідно до вимог Закону України «Про енергетичну ефективність», Порядку впровадження систем енергетичного менеджменту, затвердженого постановою Кабінету Міністрів України від 23.12.2021 № 1460 (далі - Порядок), інших актів законодавства у сфері забезпечення енергетичної ефективності та визначає основні наміри, напрями діяльності, зобов’язання КП «РОФМЦ» РОР щодо його енергетичної результативності.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досягнення індикативних цілей енергоефективності КП «РОФМЦ» РОР зобов’язується: 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забезпечувати функціонування, розвиток та вдосконалення системи енергетичного менеджменту відповідно до вимог Порядку; 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керуватися у своїй діяльності нормами ДСТУ ІБО 5001:2020 (ІБО 5001:2018, ГОТ) «Системи енергетичного менеджменту. </w:t>
      </w:r>
      <w:proofErr w:type="spellStart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настанова</w:t>
      </w:r>
      <w:proofErr w:type="spellEnd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1B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здійснювати планування відповідних фінансових, матеріальних та інших ресурсів, необхідних для досягнення цілей системи енергетичного менеджменту; 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враховувати критерії енергоефективності під час проведення публічних </w:t>
      </w:r>
      <w:proofErr w:type="spellStart"/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товарів (обладнання), послуг, пов’язаних зі споживанням енергії, проектування та виконання ремонтних, регламентних, а також інших видів робіт; 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вживати заходів щодо підвищення рівня енергетичної ефективності будівель КП «РОФМЦ» РОР з урахуванням отриманої за результатами їх сертифікації інформації шляхом впровадження економічно обґрунтованих енергоефективних заходів; 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проводити моніторинг, вимірювання та аналіз обсягів споживання енергетичних ресурсів, вживати заходів до їх економного та раціонального використання з метою щорічної оптимізації енерговитрат, зменшення витрат на оплату комунальних послуг;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підвищувати рівень інформованості працівників із питань  енергозбереження, раціонального використання енергоресурсів, завдань, планів дій та цілей, що стосуються енергетичної ефективності КП «РОФМЦ» РОР; 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забезпечувати підвищення професійної , компетентності фахівців КП «РОФМЦ» РОР у сфері енергозбереження та енергетичного менеджменту;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офіційному веб-сайті</w:t>
      </w:r>
      <w:r w:rsidRPr="001B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 «РОФМЦ» РОР </w:t>
      </w: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оприлюднювати інформацію про рейтинги енергоефективності будівель </w:t>
      </w:r>
      <w:proofErr w:type="spellStart"/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закдаду</w:t>
      </w:r>
      <w:proofErr w:type="spellEnd"/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B0209" w:rsidRPr="001B0209" w:rsidRDefault="001B0209" w:rsidP="001B02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за систему</w:t>
      </w:r>
    </w:p>
    <w:p w:rsidR="001B0209" w:rsidRPr="001B0209" w:rsidRDefault="001B0209" w:rsidP="001B020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енергетичного менеджменту                                                 </w:t>
      </w:r>
      <w:r w:rsidRPr="001B020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Олена МЕЛЬНИЧУК</w:t>
      </w:r>
    </w:p>
    <w:p w:rsidR="001B0209" w:rsidRPr="001B0209" w:rsidRDefault="001B0209" w:rsidP="001B0209">
      <w:pPr>
        <w:tabs>
          <w:tab w:val="left" w:pos="6804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B0209" w:rsidRDefault="001B0209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09" w:rsidRDefault="001B0209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09" w:rsidRDefault="001B0209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09" w:rsidRDefault="001B0209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7D" w:rsidRDefault="006A577D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209" w:rsidRDefault="001B0209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09" w:rsidRDefault="001B0209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8E" w:rsidRDefault="00294CB0" w:rsidP="00294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B0">
        <w:rPr>
          <w:rFonts w:ascii="Times New Roman" w:hAnsi="Times New Roman" w:cs="Times New Roman"/>
          <w:b/>
          <w:sz w:val="28"/>
          <w:szCs w:val="28"/>
        </w:rPr>
        <w:t>Інформаційні матеріали з питань енергозбереження та раціонального використання енергоресурсів в будівлях КП «РОФМЦ»РОР</w:t>
      </w:r>
    </w:p>
    <w:p w:rsidR="00294CB0" w:rsidRDefault="00294CB0" w:rsidP="00294CB0">
      <w:pPr>
        <w:jc w:val="both"/>
        <w:rPr>
          <w:rFonts w:ascii="Times New Roman" w:hAnsi="Times New Roman" w:cs="Times New Roman"/>
          <w:sz w:val="28"/>
          <w:szCs w:val="28"/>
        </w:rPr>
      </w:pPr>
      <w:r w:rsidRPr="00294CB0">
        <w:rPr>
          <w:rFonts w:ascii="Times New Roman" w:hAnsi="Times New Roman" w:cs="Times New Roman"/>
          <w:sz w:val="28"/>
          <w:szCs w:val="28"/>
        </w:rPr>
        <w:t>Одна з найбільших статей витрат ЗОЗ — витрати на енергоносії. Будівлі потребують капітального ремонту. Системи опалення, водопостачання та водовідведення зношені, а в умовах воєнного стану економія бюджету є особливо актуальною.</w:t>
      </w:r>
    </w:p>
    <w:p w:rsidR="00294CB0" w:rsidRPr="000105D9" w:rsidRDefault="00294CB0" w:rsidP="000105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294CB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Заходи з енергозбереження в </w:t>
      </w:r>
      <w:r w:rsidR="000105D9" w:rsidRPr="000105D9">
        <w:rPr>
          <w:rFonts w:ascii="Times New Roman" w:eastAsia="Times New Roman" w:hAnsi="Times New Roman" w:cs="Times New Roman"/>
          <w:b/>
          <w:bCs/>
          <w:sz w:val="36"/>
          <w:szCs w:val="36"/>
        </w:rPr>
        <w:t>КП «РОФМЦ»РОР</w:t>
      </w:r>
    </w:p>
    <w:p w:rsidR="00294CB0" w:rsidRPr="000105D9" w:rsidRDefault="000105D9" w:rsidP="000105D9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105D9">
        <w:rPr>
          <w:rFonts w:ascii="Times New Roman" w:eastAsia="Times New Roman" w:hAnsi="Times New Roman" w:cs="Times New Roman"/>
          <w:b/>
          <w:bCs/>
          <w:sz w:val="27"/>
          <w:szCs w:val="27"/>
        </w:rPr>
        <w:t>Малозатратні</w:t>
      </w:r>
      <w:proofErr w:type="spellEnd"/>
      <w:r w:rsidRPr="000105D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="00294CB0" w:rsidRPr="000105D9">
        <w:rPr>
          <w:rFonts w:ascii="Times New Roman" w:eastAsia="Times New Roman" w:hAnsi="Times New Roman" w:cs="Times New Roman"/>
          <w:sz w:val="24"/>
          <w:szCs w:val="24"/>
        </w:rPr>
        <w:t xml:space="preserve"> — поточні заходи, які не потребують значних коштів і часу</w:t>
      </w:r>
    </w:p>
    <w:p w:rsidR="000105D9" w:rsidRPr="000105D9" w:rsidRDefault="000105D9" w:rsidP="000105D9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Вимикати</w:t>
      </w: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освітлення в кабінетах, якщо в ньому немає потреби</w:t>
      </w:r>
    </w:p>
    <w:p w:rsidR="000105D9" w:rsidRPr="000105D9" w:rsidRDefault="000105D9" w:rsidP="000105D9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 залишати</w:t>
      </w: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комп’ютери та інші електроприлади в режимі очікування</w:t>
      </w:r>
    </w:p>
    <w:p w:rsidR="000105D9" w:rsidRPr="000105D9" w:rsidRDefault="000105D9" w:rsidP="000105D9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 кінця закручувати</w:t>
      </w: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крани подачі води</w:t>
      </w:r>
    </w:p>
    <w:p w:rsidR="000105D9" w:rsidRPr="000105D9" w:rsidRDefault="000105D9" w:rsidP="000105D9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Зачиняти</w:t>
      </w: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двері у холодні пори року</w:t>
      </w:r>
    </w:p>
    <w:p w:rsidR="00294CB0" w:rsidRDefault="000105D9" w:rsidP="000105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5D9">
        <w:rPr>
          <w:rFonts w:ascii="Times New Roman" w:eastAsia="Times New Roman" w:hAnsi="Times New Roman" w:cs="Times New Roman"/>
          <w:b/>
          <w:sz w:val="24"/>
          <w:szCs w:val="24"/>
        </w:rPr>
        <w:t>Середньозатратні</w:t>
      </w:r>
      <w:proofErr w:type="spellEnd"/>
      <w:r w:rsidRPr="000105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CB0" w:rsidRPr="00294CB0">
        <w:rPr>
          <w:rFonts w:ascii="Times New Roman" w:eastAsia="Times New Roman" w:hAnsi="Times New Roman" w:cs="Times New Roman"/>
          <w:sz w:val="24"/>
          <w:szCs w:val="24"/>
        </w:rPr>
        <w:t xml:space="preserve"> — поточні, які заклад проводить за власний кошт</w:t>
      </w:r>
    </w:p>
    <w:p w:rsidR="000105D9" w:rsidRPr="000105D9" w:rsidRDefault="000105D9" w:rsidP="000105D9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>Замінити лампи розжарювання на </w:t>
      </w:r>
      <w:proofErr w:type="spellStart"/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>люмінісцентні</w:t>
      </w:r>
      <w:proofErr w:type="spellEnd"/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 світлодіодні лампи</w:t>
      </w:r>
    </w:p>
    <w:p w:rsidR="000105D9" w:rsidRPr="000105D9" w:rsidRDefault="000105D9" w:rsidP="000105D9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>Установити тепловідбивні екрани</w:t>
      </w:r>
    </w:p>
    <w:p w:rsidR="000105D9" w:rsidRPr="000105D9" w:rsidRDefault="000105D9" w:rsidP="000105D9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Обладнати зовнішні двері автоматичними </w:t>
      </w:r>
      <w:proofErr w:type="spellStart"/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>дотягувачами</w:t>
      </w:r>
      <w:proofErr w:type="spellEnd"/>
    </w:p>
    <w:p w:rsidR="000105D9" w:rsidRPr="000105D9" w:rsidRDefault="000105D9" w:rsidP="000105D9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>Вчасно усувати несправності систем водопостачання та водовідведення</w:t>
      </w:r>
    </w:p>
    <w:p w:rsidR="000105D9" w:rsidRPr="000105D9" w:rsidRDefault="000105D9" w:rsidP="000105D9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05D9">
        <w:rPr>
          <w:rFonts w:ascii="Times New Roman" w:eastAsia="Times New Roman" w:hAnsi="Times New Roman" w:cs="Times New Roman"/>
          <w:bCs/>
          <w:sz w:val="24"/>
          <w:szCs w:val="24"/>
        </w:rPr>
        <w:t>Регулювати витрати води за допомогою аераторів</w:t>
      </w:r>
    </w:p>
    <w:p w:rsidR="00294CB0" w:rsidRDefault="000105D9" w:rsidP="000105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5D9">
        <w:rPr>
          <w:rFonts w:ascii="Times New Roman" w:eastAsia="Times New Roman" w:hAnsi="Times New Roman" w:cs="Times New Roman"/>
          <w:b/>
          <w:sz w:val="24"/>
          <w:szCs w:val="24"/>
        </w:rPr>
        <w:t>Високозатратні</w:t>
      </w:r>
      <w:proofErr w:type="spellEnd"/>
      <w:r w:rsidRPr="000105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CB0" w:rsidRPr="00294CB0">
        <w:rPr>
          <w:rFonts w:ascii="Times New Roman" w:eastAsia="Times New Roman" w:hAnsi="Times New Roman" w:cs="Times New Roman"/>
          <w:sz w:val="24"/>
          <w:szCs w:val="24"/>
        </w:rPr>
        <w:t>— капітальні, ті, що складно впровадити без залучення додаткових коштів</w:t>
      </w:r>
      <w:r w:rsidR="00294CB0" w:rsidRPr="000105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4E" w:rsidRPr="00294CB0" w:rsidRDefault="004E514E" w:rsidP="00753995">
      <w:pPr>
        <w:numPr>
          <w:ilvl w:val="0"/>
          <w:numId w:val="4"/>
        </w:numPr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Удосконалити</w:t>
      </w:r>
      <w:r w:rsidRPr="004E514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теплоізоляцію будівель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утеплення стін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>, підвал</w:t>
      </w:r>
      <w:r>
        <w:rPr>
          <w:rFonts w:ascii="Times New Roman" w:eastAsia="Times New Roman" w:hAnsi="Times New Roman" w:cs="Times New Roman"/>
          <w:sz w:val="24"/>
          <w:szCs w:val="24"/>
        </w:rPr>
        <w:t>ів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>, покритт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й перекритт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будівель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5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утеплення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замін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вік</w:t>
      </w:r>
      <w:r>
        <w:rPr>
          <w:rFonts w:ascii="Times New Roman" w:eastAsia="Times New Roman" w:hAnsi="Times New Roman" w:cs="Times New Roman"/>
          <w:sz w:val="24"/>
          <w:szCs w:val="24"/>
        </w:rPr>
        <w:t>он та вхідних дверей, переобладнання та модернізація вентиляційної системи)</w:t>
      </w:r>
    </w:p>
    <w:p w:rsidR="004E514E" w:rsidRPr="004E514E" w:rsidRDefault="004E514E" w:rsidP="00753995">
      <w:pPr>
        <w:numPr>
          <w:ilvl w:val="0"/>
          <w:numId w:val="4"/>
        </w:numPr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Модернізувати систему</w:t>
      </w:r>
      <w:r w:rsidRPr="004E5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опалення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Замінити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чавунні радіатори на нові біметалеві</w:t>
      </w:r>
      <w:r>
        <w:rPr>
          <w:rFonts w:ascii="Times New Roman" w:eastAsia="Times New Roman" w:hAnsi="Times New Roman" w:cs="Times New Roman"/>
          <w:sz w:val="24"/>
          <w:szCs w:val="24"/>
        </w:rPr>
        <w:t>, встановити</w:t>
      </w:r>
      <w:r w:rsidRPr="004E514E">
        <w:rPr>
          <w:rFonts w:ascii="Times New Roman" w:eastAsia="Times New Roman" w:hAnsi="Times New Roman" w:cs="Times New Roman"/>
          <w:sz w:val="24"/>
          <w:szCs w:val="24"/>
        </w:rPr>
        <w:t xml:space="preserve"> термостатичні вентилі на радіатори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514E" w:rsidRPr="004E514E" w:rsidRDefault="004E514E" w:rsidP="00753995">
      <w:pPr>
        <w:numPr>
          <w:ilvl w:val="0"/>
          <w:numId w:val="4"/>
        </w:numPr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Регулювати</w:t>
      </w:r>
      <w:r w:rsidRPr="004E5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напругу за допомогою реле непріоритетних навантажень</w:t>
      </w:r>
    </w:p>
    <w:p w:rsidR="004E514E" w:rsidRPr="004E514E" w:rsidRDefault="004E514E" w:rsidP="00753995">
      <w:pPr>
        <w:numPr>
          <w:ilvl w:val="0"/>
          <w:numId w:val="4"/>
        </w:numPr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4E514E">
        <w:rPr>
          <w:rFonts w:ascii="Times New Roman" w:eastAsia="Times New Roman" w:hAnsi="Times New Roman" w:cs="Times New Roman"/>
          <w:bCs/>
          <w:sz w:val="24"/>
          <w:szCs w:val="24"/>
        </w:rPr>
        <w:t>Установіть світильники із сенсорами руху</w:t>
      </w:r>
    </w:p>
    <w:sectPr w:rsidR="004E514E" w:rsidRPr="004E514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824"/>
    <w:multiLevelType w:val="multilevel"/>
    <w:tmpl w:val="0C96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27909"/>
    <w:multiLevelType w:val="multilevel"/>
    <w:tmpl w:val="5E0C6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196F9C"/>
    <w:multiLevelType w:val="multilevel"/>
    <w:tmpl w:val="0D94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A489D"/>
    <w:multiLevelType w:val="multilevel"/>
    <w:tmpl w:val="C36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F51C5"/>
    <w:multiLevelType w:val="multilevel"/>
    <w:tmpl w:val="DC34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5138F"/>
    <w:multiLevelType w:val="hybridMultilevel"/>
    <w:tmpl w:val="95CAD38E"/>
    <w:lvl w:ilvl="0" w:tplc="7BA60E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B456C7"/>
    <w:multiLevelType w:val="multilevel"/>
    <w:tmpl w:val="9FC4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E698B"/>
    <w:multiLevelType w:val="multilevel"/>
    <w:tmpl w:val="8A54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BF49A7"/>
    <w:multiLevelType w:val="hybridMultilevel"/>
    <w:tmpl w:val="BACE15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866B25"/>
    <w:multiLevelType w:val="multilevel"/>
    <w:tmpl w:val="69987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870DC2"/>
    <w:multiLevelType w:val="hybridMultilevel"/>
    <w:tmpl w:val="D5E2EF74"/>
    <w:lvl w:ilvl="0" w:tplc="7BA60ED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171DAC"/>
    <w:multiLevelType w:val="hybridMultilevel"/>
    <w:tmpl w:val="1486D6B2"/>
    <w:lvl w:ilvl="0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B8E"/>
    <w:rsid w:val="000105D9"/>
    <w:rsid w:val="001B0209"/>
    <w:rsid w:val="00294CB0"/>
    <w:rsid w:val="004E514E"/>
    <w:rsid w:val="005E1A6B"/>
    <w:rsid w:val="006A577D"/>
    <w:rsid w:val="00753995"/>
    <w:rsid w:val="00835D15"/>
    <w:rsid w:val="008C1E0E"/>
    <w:rsid w:val="009B4B8E"/>
    <w:rsid w:val="00A85D0A"/>
    <w:rsid w:val="00DF6A08"/>
    <w:rsid w:val="00E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8D8F"/>
  <w15:docId w15:val="{B1B15833-2B6D-4B42-A57E-81CD1FB4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4797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06E42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D06E42"/>
    <w:rPr>
      <w:color w:val="605E5C"/>
      <w:shd w:val="clear" w:color="auto" w:fill="E1DFDD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8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5D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Lx+cxeVSGJl0AVeCzCZFxm/2bQ==">AMUW2mWiGlKtiFXHDEclganRoGZWygRWqNkSwKE++YJUnqF5nxTKtg8K+DPe98RjCl6cUlIgCt8o5zrrIJZjedWIR2SjyYu3QBFl+Vn0VyYP5vYo4wIWn18=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6913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saeepressa@gmail.com</dc:creator>
  <cp:lastModifiedBy>Vita</cp:lastModifiedBy>
  <cp:revision>8</cp:revision>
  <cp:lastPrinted>2023-04-18T05:25:00Z</cp:lastPrinted>
  <dcterms:created xsi:type="dcterms:W3CDTF">2023-04-17T13:13:00Z</dcterms:created>
  <dcterms:modified xsi:type="dcterms:W3CDTF">2023-04-20T08:00:00Z</dcterms:modified>
</cp:coreProperties>
</file>